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AF2F" w14:textId="4D667A54" w:rsidR="00A42713" w:rsidRPr="00B5257B" w:rsidRDefault="00A42713" w:rsidP="00A42713">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F20853" w:rsidRPr="00AE7AD7">
        <w:rPr>
          <w:rFonts w:ascii="Arial" w:hAnsi="Arial" w:cs="Arial"/>
          <w:b/>
          <w:bCs/>
        </w:rPr>
        <w:t>R1-190734</w:t>
      </w:r>
      <w:r w:rsidR="00F20853">
        <w:rPr>
          <w:rFonts w:ascii="Arial" w:hAnsi="Arial" w:cs="Arial"/>
          <w:b/>
          <w:bCs/>
        </w:rPr>
        <w:t>2</w:t>
      </w:r>
      <w:bookmarkStart w:id="0" w:name="_GoBack"/>
      <w:bookmarkEnd w:id="0"/>
    </w:p>
    <w:p w14:paraId="46A38686" w14:textId="77777777" w:rsidR="00A42713" w:rsidRPr="00B5257B" w:rsidRDefault="00A42713" w:rsidP="00A42713">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5C97CB7D" w:rsidR="00E1707D" w:rsidRDefault="003D3C45" w:rsidP="00396685">
      <w:pPr>
        <w:pStyle w:val="3GPPHeader"/>
        <w:rPr>
          <w:sz w:val="22"/>
          <w:szCs w:val="22"/>
        </w:rPr>
      </w:pPr>
      <w:r w:rsidRPr="00315C6E">
        <w:rPr>
          <w:sz w:val="22"/>
          <w:szCs w:val="22"/>
        </w:rPr>
        <w:t>Title:</w:t>
      </w:r>
      <w:r w:rsidR="00E90E49" w:rsidRPr="00315C6E">
        <w:rPr>
          <w:sz w:val="22"/>
          <w:szCs w:val="22"/>
        </w:rPr>
        <w:tab/>
      </w:r>
      <w:r w:rsidR="00783AE6" w:rsidRPr="00783AE6">
        <w:rPr>
          <w:sz w:val="22"/>
          <w:szCs w:val="22"/>
        </w:rPr>
        <w:t>Considerations on enhancements on multi-beam operation</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90F6F35"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w:t>
      </w:r>
      <w:r w:rsidR="00B80B08">
        <w:rPr>
          <w:rFonts w:eastAsia="MS Mincho"/>
          <w:sz w:val="22"/>
          <w:szCs w:val="22"/>
          <w:lang w:eastAsia="ja-JP"/>
        </w:rPr>
        <w:t>T</w:t>
      </w:r>
      <w:r w:rsidR="00A65CB5">
        <w:rPr>
          <w:rFonts w:eastAsia="MS Mincho"/>
          <w:sz w:val="22"/>
          <w:szCs w:val="22"/>
          <w:lang w:eastAsia="ja-JP"/>
        </w:rPr>
        <w:t>)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6D32719C" w14:textId="77777777" w:rsidR="00AC09F1" w:rsidRDefault="00AC09F1" w:rsidP="008A7B5A">
      <w:pPr>
        <w:rPr>
          <w:rFonts w:eastAsia="MS Mincho"/>
          <w:sz w:val="22"/>
          <w:lang w:eastAsia="ja-JP"/>
        </w:rPr>
      </w:pPr>
    </w:p>
    <w:p w14:paraId="121700A5" w14:textId="6E9EA744" w:rsidR="008A7B5A" w:rsidRDefault="008A7B5A" w:rsidP="008A7B5A">
      <w:pPr>
        <w:rPr>
          <w:rFonts w:eastAsia="MS Mincho"/>
          <w:sz w:val="22"/>
          <w:lang w:eastAsia="ja-JP"/>
        </w:rPr>
      </w:pPr>
      <w:r w:rsidRPr="005D353D">
        <w:rPr>
          <w:rFonts w:eastAsia="MS Mincho"/>
          <w:sz w:val="22"/>
          <w:lang w:eastAsia="ja-JP"/>
        </w:rPr>
        <w:t xml:space="preserve">In </w:t>
      </w:r>
      <w:r w:rsidR="00175453">
        <w:rPr>
          <w:rFonts w:eastAsia="MS Mincho"/>
          <w:sz w:val="22"/>
          <w:lang w:eastAsia="ja-JP"/>
        </w:rPr>
        <w:t>the previous RAN1 meetings</w:t>
      </w:r>
      <w:r w:rsidRPr="005D353D">
        <w:rPr>
          <w:rFonts w:eastAsia="MS Mincho"/>
          <w:sz w:val="22"/>
          <w:lang w:eastAsia="ja-JP"/>
        </w:rPr>
        <w:t xml:space="preserve">, further agreement has been reached in terms of the detailed design on how to </w:t>
      </w:r>
      <w:r>
        <w:rPr>
          <w:rFonts w:eastAsia="MS Mincho"/>
          <w:sz w:val="22"/>
          <w:lang w:eastAsia="ja-JP"/>
        </w:rPr>
        <w:t xml:space="preserve">support multi-TRP transmission and reception </w:t>
      </w:r>
      <w:r w:rsidRPr="005D353D">
        <w:rPr>
          <w:rFonts w:eastAsia="MS Mincho"/>
          <w:sz w:val="22"/>
          <w:lang w:eastAsia="ja-JP"/>
        </w:rPr>
        <w:t>[</w:t>
      </w:r>
      <w:r w:rsidR="00D24BF8">
        <w:rPr>
          <w:rFonts w:eastAsia="MS Mincho"/>
          <w:sz w:val="22"/>
          <w:lang w:eastAsia="ja-JP"/>
        </w:rPr>
        <w:t xml:space="preserve">2, </w:t>
      </w:r>
      <w:r w:rsidRPr="005D353D">
        <w:rPr>
          <w:rFonts w:eastAsia="MS Mincho"/>
          <w:sz w:val="22"/>
          <w:lang w:eastAsia="ja-JP"/>
        </w:rPr>
        <w:t>3</w:t>
      </w:r>
      <w:r w:rsidR="00D24BF8">
        <w:rPr>
          <w:rFonts w:eastAsia="MS Mincho"/>
          <w:sz w:val="22"/>
          <w:lang w:eastAsia="ja-JP"/>
        </w:rPr>
        <w:t>, 4</w:t>
      </w:r>
      <w:r w:rsidR="00141586">
        <w:rPr>
          <w:rFonts w:eastAsia="MS Mincho"/>
          <w:sz w:val="22"/>
          <w:lang w:eastAsia="ja-JP"/>
        </w:rPr>
        <w:t>, 5</w:t>
      </w:r>
      <w:r w:rsidRPr="005D353D">
        <w:rPr>
          <w:rFonts w:eastAsia="MS Mincho"/>
          <w:sz w:val="22"/>
          <w:lang w:eastAsia="ja-JP"/>
        </w:rPr>
        <w:t>]</w:t>
      </w:r>
    </w:p>
    <w:p w14:paraId="0B16FDE9" w14:textId="77777777" w:rsidR="00324BF6" w:rsidRPr="005D353D" w:rsidRDefault="00324BF6" w:rsidP="008A7B5A">
      <w:pPr>
        <w:rPr>
          <w:rFonts w:eastAsia="MS Mincho"/>
          <w:sz w:val="22"/>
          <w:lang w:eastAsia="ja-JP"/>
        </w:rPr>
      </w:pPr>
    </w:p>
    <w:tbl>
      <w:tblPr>
        <w:tblStyle w:val="TableGrid"/>
        <w:tblW w:w="0" w:type="auto"/>
        <w:tblLook w:val="04A0" w:firstRow="1" w:lastRow="0" w:firstColumn="1" w:lastColumn="0" w:noHBand="0" w:noVBand="1"/>
      </w:tblPr>
      <w:tblGrid>
        <w:gridCol w:w="9855"/>
      </w:tblGrid>
      <w:tr w:rsidR="00324BF6" w14:paraId="08556017" w14:textId="77777777" w:rsidTr="00324BF6">
        <w:tc>
          <w:tcPr>
            <w:tcW w:w="9855" w:type="dxa"/>
          </w:tcPr>
          <w:p w14:paraId="7CC511BF" w14:textId="77777777" w:rsidR="00270249" w:rsidRPr="003D6F4C" w:rsidRDefault="00270249" w:rsidP="00270249">
            <w:pPr>
              <w:jc w:val="both"/>
              <w:rPr>
                <w:b/>
                <w:sz w:val="22"/>
                <w:szCs w:val="20"/>
                <w:highlight w:val="green"/>
              </w:rPr>
            </w:pPr>
            <w:r w:rsidRPr="003D6F4C">
              <w:rPr>
                <w:b/>
                <w:sz w:val="22"/>
                <w:szCs w:val="20"/>
                <w:highlight w:val="green"/>
              </w:rPr>
              <w:t>Agreement</w:t>
            </w:r>
          </w:p>
          <w:p w14:paraId="7F52147B" w14:textId="4405D7E5" w:rsidR="00270249" w:rsidRDefault="00270249" w:rsidP="008F0649">
            <w:pPr>
              <w:jc w:val="both"/>
              <w:rPr>
                <w:b/>
                <w:sz w:val="22"/>
                <w:szCs w:val="22"/>
                <w:highlight w:val="green"/>
              </w:rPr>
            </w:pPr>
            <w:r w:rsidRPr="005B08CD">
              <w:rPr>
                <w:sz w:val="22"/>
                <w:szCs w:val="20"/>
              </w:rPr>
              <w:t xml:space="preserve">For multi-TRP/panel transmission, </w:t>
            </w:r>
            <w:r w:rsidRPr="005B08CD">
              <w:rPr>
                <w:sz w:val="22"/>
                <w:szCs w:val="20"/>
                <w:lang w:eastAsia="x-none"/>
              </w:rPr>
              <w:t>both multiple PDCCH and single PDCCH designs are supported in Rel-16</w:t>
            </w:r>
            <w:r w:rsidR="006A5177">
              <w:rPr>
                <w:sz w:val="22"/>
                <w:szCs w:val="20"/>
                <w:lang w:eastAsia="x-none"/>
              </w:rPr>
              <w:t xml:space="preserve">. </w:t>
            </w:r>
            <w:r w:rsidRPr="005B08CD">
              <w:rPr>
                <w:szCs w:val="20"/>
              </w:rPr>
              <w:t>Applies for eMBB</w:t>
            </w:r>
          </w:p>
          <w:p w14:paraId="2A33B170" w14:textId="77777777" w:rsidR="00E10ED0" w:rsidRPr="001A45B5" w:rsidRDefault="00E10ED0" w:rsidP="00E10ED0">
            <w:pPr>
              <w:rPr>
                <w:sz w:val="22"/>
                <w:szCs w:val="22"/>
                <w:lang w:eastAsia="x-none"/>
              </w:rPr>
            </w:pPr>
          </w:p>
          <w:p w14:paraId="1C2AD095" w14:textId="77777777" w:rsidR="00E10ED0" w:rsidRPr="001A45B5" w:rsidRDefault="00E10ED0" w:rsidP="00E10ED0">
            <w:pPr>
              <w:jc w:val="both"/>
              <w:rPr>
                <w:b/>
                <w:sz w:val="22"/>
                <w:szCs w:val="22"/>
                <w:highlight w:val="green"/>
              </w:rPr>
            </w:pPr>
            <w:r w:rsidRPr="001A45B5">
              <w:rPr>
                <w:b/>
                <w:sz w:val="22"/>
                <w:szCs w:val="22"/>
                <w:highlight w:val="green"/>
              </w:rPr>
              <w:t>Agreement</w:t>
            </w:r>
          </w:p>
          <w:p w14:paraId="17817407" w14:textId="26EE16AC" w:rsidR="00E10ED0" w:rsidRPr="001A45B5" w:rsidRDefault="00E10ED0" w:rsidP="00E10ED0">
            <w:pPr>
              <w:jc w:val="both"/>
              <w:rPr>
                <w:sz w:val="22"/>
                <w:szCs w:val="22"/>
              </w:rPr>
            </w:pPr>
            <w:r w:rsidRPr="001A45B5">
              <w:rPr>
                <w:sz w:val="22"/>
                <w:szCs w:val="22"/>
              </w:rPr>
              <w:t>For multiple-PDCCH based multi-TRP/panel transmission for eMBB, for the purposes of PDCCH detection, UE does not assume any dependency amongst the multiple PDCCHs</w:t>
            </w:r>
          </w:p>
          <w:p w14:paraId="5C4CFD7E" w14:textId="77777777" w:rsidR="00E10ED0" w:rsidRPr="001A45B5" w:rsidRDefault="00E10ED0" w:rsidP="00E10ED0">
            <w:pPr>
              <w:jc w:val="both"/>
              <w:rPr>
                <w:sz w:val="22"/>
                <w:szCs w:val="22"/>
              </w:rPr>
            </w:pPr>
          </w:p>
          <w:p w14:paraId="10A5B985" w14:textId="77777777" w:rsidR="00E10ED0" w:rsidRPr="001A45B5" w:rsidRDefault="00E10ED0" w:rsidP="00E10ED0">
            <w:pPr>
              <w:rPr>
                <w:b/>
                <w:sz w:val="22"/>
                <w:szCs w:val="22"/>
                <w:highlight w:val="green"/>
              </w:rPr>
            </w:pPr>
            <w:r w:rsidRPr="001A45B5">
              <w:rPr>
                <w:b/>
                <w:sz w:val="22"/>
                <w:szCs w:val="22"/>
                <w:highlight w:val="green"/>
              </w:rPr>
              <w:t>Agreement</w:t>
            </w:r>
          </w:p>
          <w:p w14:paraId="40CAE8A0" w14:textId="77777777" w:rsidR="00E10ED0" w:rsidRPr="001A45B5" w:rsidRDefault="00E10ED0" w:rsidP="00E10ED0">
            <w:pPr>
              <w:rPr>
                <w:sz w:val="22"/>
                <w:szCs w:val="22"/>
              </w:rPr>
            </w:pPr>
            <w:r w:rsidRPr="001A45B5">
              <w:rPr>
                <w:sz w:val="22"/>
                <w:szCs w:val="22"/>
              </w:rPr>
              <w:t xml:space="preserve">TCI indication framework shall be enhanced in Rel-16 at least for eMBB: </w:t>
            </w:r>
          </w:p>
          <w:p w14:paraId="434B1CA3" w14:textId="77777777" w:rsidR="00E10ED0" w:rsidRPr="001A45B5" w:rsidRDefault="00E10ED0" w:rsidP="00E10ED0">
            <w:pPr>
              <w:numPr>
                <w:ilvl w:val="0"/>
                <w:numId w:val="23"/>
              </w:numPr>
              <w:contextualSpacing/>
              <w:jc w:val="both"/>
              <w:rPr>
                <w:sz w:val="22"/>
                <w:szCs w:val="22"/>
              </w:rPr>
            </w:pPr>
            <w:r w:rsidRPr="001A45B5">
              <w:rPr>
                <w:sz w:val="22"/>
                <w:szCs w:val="22"/>
              </w:rPr>
              <w:t xml:space="preserve">Each TCI code point in a DCI can correspond to 1 or 2 TCI states </w:t>
            </w:r>
          </w:p>
          <w:p w14:paraId="3396833D" w14:textId="77777777" w:rsidR="00E10ED0" w:rsidRPr="001A45B5" w:rsidRDefault="00E10ED0" w:rsidP="00E10ED0">
            <w:pPr>
              <w:numPr>
                <w:ilvl w:val="1"/>
                <w:numId w:val="23"/>
              </w:numPr>
              <w:contextualSpacing/>
              <w:jc w:val="both"/>
              <w:rPr>
                <w:sz w:val="22"/>
                <w:szCs w:val="22"/>
              </w:rPr>
            </w:pPr>
            <w:r w:rsidRPr="001A45B5">
              <w:rPr>
                <w:sz w:val="22"/>
                <w:szCs w:val="22"/>
              </w:rPr>
              <w:t xml:space="preserve">When 2 TCI states are activated within a TCI code point, each TCI state corresponds to one CDM group, at least for DMRS type 1 </w:t>
            </w:r>
          </w:p>
          <w:p w14:paraId="303595D3" w14:textId="77777777" w:rsidR="00E10ED0" w:rsidRPr="001A45B5" w:rsidRDefault="00E10ED0" w:rsidP="00E10ED0">
            <w:pPr>
              <w:numPr>
                <w:ilvl w:val="2"/>
                <w:numId w:val="23"/>
              </w:numPr>
              <w:contextualSpacing/>
              <w:jc w:val="both"/>
              <w:rPr>
                <w:sz w:val="22"/>
                <w:szCs w:val="22"/>
              </w:rPr>
            </w:pPr>
            <w:r w:rsidRPr="001A45B5">
              <w:rPr>
                <w:sz w:val="22"/>
                <w:szCs w:val="22"/>
              </w:rPr>
              <w:t>FFS design for DMRS type 2</w:t>
            </w:r>
          </w:p>
          <w:p w14:paraId="12C19141" w14:textId="147D8026" w:rsidR="00E10ED0" w:rsidRPr="001A45B5" w:rsidRDefault="00E10ED0" w:rsidP="00E10ED0">
            <w:pPr>
              <w:numPr>
                <w:ilvl w:val="1"/>
                <w:numId w:val="23"/>
              </w:numPr>
              <w:contextualSpacing/>
              <w:jc w:val="both"/>
              <w:rPr>
                <w:sz w:val="22"/>
                <w:szCs w:val="22"/>
              </w:rPr>
            </w:pPr>
            <w:r w:rsidRPr="001A45B5">
              <w:rPr>
                <w:sz w:val="22"/>
                <w:szCs w:val="22"/>
              </w:rPr>
              <w:t>FFS: TCI field in DCI, and associated MAC-CE signaling impact</w:t>
            </w:r>
          </w:p>
          <w:p w14:paraId="2DA9EBBA" w14:textId="77777777" w:rsidR="00E850DD" w:rsidRPr="001A45B5" w:rsidRDefault="00E850DD" w:rsidP="00467011">
            <w:pPr>
              <w:ind w:left="1440"/>
              <w:contextualSpacing/>
              <w:jc w:val="both"/>
              <w:rPr>
                <w:sz w:val="22"/>
                <w:szCs w:val="22"/>
              </w:rPr>
            </w:pPr>
          </w:p>
          <w:p w14:paraId="0FA42331" w14:textId="77777777" w:rsidR="00E850DD" w:rsidRPr="001A45B5" w:rsidRDefault="00E850DD" w:rsidP="00E850DD">
            <w:pPr>
              <w:rPr>
                <w:b/>
                <w:sz w:val="22"/>
                <w:szCs w:val="22"/>
                <w:highlight w:val="green"/>
                <w:lang w:eastAsia="x-none"/>
              </w:rPr>
            </w:pPr>
            <w:r w:rsidRPr="001A45B5">
              <w:rPr>
                <w:b/>
                <w:sz w:val="22"/>
                <w:szCs w:val="22"/>
                <w:highlight w:val="green"/>
                <w:lang w:eastAsia="x-none"/>
              </w:rPr>
              <w:t>Agreement</w:t>
            </w:r>
          </w:p>
          <w:p w14:paraId="26E6CA4C" w14:textId="77777777" w:rsidR="00E850DD" w:rsidRPr="001A45B5" w:rsidRDefault="00E850DD" w:rsidP="00E850DD">
            <w:pPr>
              <w:tabs>
                <w:tab w:val="left" w:pos="720"/>
                <w:tab w:val="left" w:pos="2160"/>
              </w:tabs>
              <w:overflowPunct w:val="0"/>
              <w:autoSpaceDE w:val="0"/>
              <w:autoSpaceDN w:val="0"/>
              <w:adjustRightInd w:val="0"/>
              <w:jc w:val="both"/>
              <w:textAlignment w:val="baseline"/>
              <w:rPr>
                <w:sz w:val="22"/>
                <w:szCs w:val="22"/>
              </w:rPr>
            </w:pPr>
            <w:r w:rsidRPr="001A45B5">
              <w:rPr>
                <w:rFonts w:eastAsia="SimSun"/>
                <w:sz w:val="22"/>
                <w:szCs w:val="22"/>
              </w:rPr>
              <w:t>For TCI state configuration in order to enable one or two TCI states per</w:t>
            </w:r>
            <w:r w:rsidRPr="001A45B5">
              <w:rPr>
                <w:sz w:val="22"/>
                <w:szCs w:val="22"/>
              </w:rPr>
              <w:t xml:space="preserve"> a TCI code point,</w:t>
            </w:r>
          </w:p>
          <w:p w14:paraId="7EEB81A0" w14:textId="77777777" w:rsidR="00E850DD" w:rsidRPr="001A45B5" w:rsidRDefault="00E850DD" w:rsidP="00E850DD">
            <w:pPr>
              <w:pStyle w:val="ListParagraph"/>
              <w:numPr>
                <w:ilvl w:val="0"/>
                <w:numId w:val="24"/>
              </w:numPr>
              <w:contextualSpacing/>
              <w:jc w:val="both"/>
              <w:rPr>
                <w:rFonts w:ascii="Times New Roman" w:hAnsi="Times New Roman"/>
              </w:rPr>
            </w:pPr>
            <w:r w:rsidRPr="001A45B5">
              <w:rPr>
                <w:rFonts w:ascii="Times New Roman" w:hAnsi="Times New Roman"/>
              </w:rPr>
              <w:t>MAC-CE enhancement to map one or two TCI states for a TCI code point where further detailed design is determined in RAN2.</w:t>
            </w:r>
          </w:p>
          <w:p w14:paraId="2BD8C3EC" w14:textId="77777777" w:rsidR="00E850DD" w:rsidRPr="001A45B5" w:rsidRDefault="00E850DD" w:rsidP="00E850DD">
            <w:pPr>
              <w:pStyle w:val="ListParagraph"/>
              <w:numPr>
                <w:ilvl w:val="0"/>
                <w:numId w:val="24"/>
              </w:numPr>
              <w:contextualSpacing/>
              <w:jc w:val="both"/>
              <w:rPr>
                <w:rFonts w:ascii="Times New Roman" w:hAnsi="Times New Roman"/>
              </w:rPr>
            </w:pPr>
            <w:r w:rsidRPr="001A45B5">
              <w:rPr>
                <w:rFonts w:ascii="Times New Roman" w:hAnsi="Times New Roman"/>
              </w:rPr>
              <w:t>FFS whether increasing the number of bits of TCI field in DCI</w:t>
            </w:r>
          </w:p>
          <w:p w14:paraId="2CB750D1" w14:textId="64276D39" w:rsidR="00E850DD" w:rsidRPr="001A45B5" w:rsidRDefault="00E850DD" w:rsidP="00E850DD">
            <w:pPr>
              <w:contextualSpacing/>
              <w:jc w:val="both"/>
              <w:rPr>
                <w:sz w:val="22"/>
                <w:szCs w:val="22"/>
              </w:rPr>
            </w:pPr>
          </w:p>
          <w:p w14:paraId="33EFAA35" w14:textId="77777777" w:rsidR="001A45B5" w:rsidRPr="001A45B5" w:rsidRDefault="001A45B5" w:rsidP="001A45B5">
            <w:pPr>
              <w:rPr>
                <w:b/>
                <w:sz w:val="22"/>
                <w:szCs w:val="22"/>
                <w:highlight w:val="green"/>
                <w:lang w:eastAsia="x-none"/>
              </w:rPr>
            </w:pPr>
            <w:r w:rsidRPr="001A45B5">
              <w:rPr>
                <w:b/>
                <w:sz w:val="22"/>
                <w:szCs w:val="22"/>
                <w:highlight w:val="green"/>
                <w:lang w:eastAsia="x-none"/>
              </w:rPr>
              <w:t>Agreement</w:t>
            </w:r>
          </w:p>
          <w:p w14:paraId="0C618D2C" w14:textId="77777777" w:rsidR="001A45B5" w:rsidRPr="001A45B5" w:rsidRDefault="001A45B5" w:rsidP="001A45B5">
            <w:pPr>
              <w:jc w:val="both"/>
              <w:rPr>
                <w:rFonts w:eastAsia="SimSun"/>
                <w:sz w:val="22"/>
                <w:szCs w:val="22"/>
              </w:rPr>
            </w:pPr>
            <w:r w:rsidRPr="001A45B5">
              <w:rPr>
                <w:rFonts w:eastAsia="SimSun"/>
                <w:sz w:val="22"/>
                <w:szCs w:val="22"/>
              </w:rPr>
              <w:t>To support multiple-PDCCH based multi-TRP/panel transmission with intra-cell (same cell ID) and inter-cell (different Cell IDs), following RRC configuration can be used to link multiple PDCCH/PDSCH pairs with multiple TRPs</w:t>
            </w:r>
          </w:p>
          <w:p w14:paraId="15718344" w14:textId="77777777" w:rsidR="001A45B5" w:rsidRPr="001A45B5" w:rsidRDefault="001A45B5" w:rsidP="001A45B5">
            <w:pPr>
              <w:numPr>
                <w:ilvl w:val="0"/>
                <w:numId w:val="25"/>
              </w:numPr>
              <w:contextualSpacing/>
              <w:jc w:val="both"/>
              <w:rPr>
                <w:rFonts w:eastAsia="SimSun"/>
                <w:sz w:val="22"/>
                <w:szCs w:val="22"/>
              </w:rPr>
            </w:pPr>
            <w:r w:rsidRPr="001A45B5">
              <w:rPr>
                <w:rFonts w:eastAsia="SimSun"/>
                <w:sz w:val="22"/>
                <w:szCs w:val="22"/>
              </w:rPr>
              <w:t xml:space="preserve">one CORESET in a “PDCCH-config” corresponds to one TRP </w:t>
            </w:r>
          </w:p>
          <w:p w14:paraId="3EC5769C" w14:textId="77777777" w:rsidR="001A45B5" w:rsidRPr="001A45B5" w:rsidRDefault="001A45B5" w:rsidP="001A45B5">
            <w:pPr>
              <w:numPr>
                <w:ilvl w:val="1"/>
                <w:numId w:val="25"/>
              </w:numPr>
              <w:contextualSpacing/>
              <w:jc w:val="both"/>
              <w:rPr>
                <w:rFonts w:eastAsia="SimSun"/>
                <w:sz w:val="22"/>
                <w:szCs w:val="22"/>
              </w:rPr>
            </w:pPr>
            <w:r w:rsidRPr="001A45B5">
              <w:rPr>
                <w:rFonts w:eastAsia="SimSun"/>
                <w:sz w:val="22"/>
                <w:szCs w:val="22"/>
              </w:rPr>
              <w:t>FFS whether to increase the number of CORESETs per “PDCCH-config” more than 3</w:t>
            </w:r>
          </w:p>
          <w:p w14:paraId="579616A5" w14:textId="0C8A0FD2" w:rsidR="001A45B5" w:rsidRPr="001A45B5" w:rsidRDefault="001A45B5" w:rsidP="001A45B5">
            <w:pPr>
              <w:rPr>
                <w:sz w:val="22"/>
                <w:szCs w:val="22"/>
                <w:lang w:eastAsia="x-none"/>
              </w:rPr>
            </w:pPr>
            <w:r w:rsidRPr="001A45B5">
              <w:rPr>
                <w:sz w:val="22"/>
                <w:szCs w:val="22"/>
                <w:lang w:eastAsia="ko-KR"/>
              </w:rPr>
              <w:t>FFS: UE monitoring/decoding behavior for multiple PDCCHs.</w:t>
            </w:r>
          </w:p>
          <w:p w14:paraId="12CF3FA5" w14:textId="77777777" w:rsidR="00324BF6" w:rsidRDefault="00324BF6" w:rsidP="00B34FA1">
            <w:pPr>
              <w:rPr>
                <w:rFonts w:eastAsia="MS Mincho"/>
                <w:sz w:val="22"/>
                <w:szCs w:val="22"/>
                <w:lang w:eastAsia="ja-JP"/>
              </w:rPr>
            </w:pPr>
          </w:p>
          <w:p w14:paraId="33C965EC" w14:textId="77777777" w:rsidR="00546C71" w:rsidRPr="00F6408A" w:rsidRDefault="00546C71" w:rsidP="00546C71">
            <w:pPr>
              <w:pStyle w:val="ListParagraph"/>
              <w:tabs>
                <w:tab w:val="left" w:pos="2160"/>
              </w:tabs>
              <w:overflowPunct w:val="0"/>
              <w:autoSpaceDE w:val="0"/>
              <w:autoSpaceDN w:val="0"/>
              <w:adjustRightInd w:val="0"/>
              <w:ind w:left="0"/>
              <w:contextualSpacing/>
              <w:jc w:val="both"/>
              <w:textAlignment w:val="baseline"/>
              <w:rPr>
                <w:rFonts w:ascii="Times New Roman" w:hAnsi="Times New Roman"/>
                <w:b/>
                <w:highlight w:val="green"/>
              </w:rPr>
            </w:pPr>
            <w:r w:rsidRPr="00F6408A">
              <w:rPr>
                <w:rFonts w:ascii="Times New Roman" w:hAnsi="Times New Roman"/>
                <w:b/>
                <w:highlight w:val="green"/>
              </w:rPr>
              <w:t>Agreement</w:t>
            </w:r>
          </w:p>
          <w:p w14:paraId="5057E56D" w14:textId="77777777" w:rsidR="00546C71" w:rsidRPr="00F6408A" w:rsidRDefault="00546C71" w:rsidP="00546C71">
            <w:pPr>
              <w:pStyle w:val="ListParagraph"/>
              <w:tabs>
                <w:tab w:val="left" w:pos="0"/>
                <w:tab w:val="left" w:pos="2160"/>
              </w:tabs>
              <w:overflowPunct w:val="0"/>
              <w:autoSpaceDE w:val="0"/>
              <w:autoSpaceDN w:val="0"/>
              <w:adjustRightInd w:val="0"/>
              <w:ind w:left="0"/>
              <w:contextualSpacing/>
              <w:jc w:val="both"/>
              <w:textAlignment w:val="baseline"/>
              <w:rPr>
                <w:rFonts w:ascii="Times New Roman" w:hAnsi="Times New Roman"/>
              </w:rPr>
            </w:pPr>
            <w:r w:rsidRPr="00F6408A">
              <w:rPr>
                <w:rFonts w:ascii="Times New Roman" w:hAnsi="Times New Roman"/>
              </w:rPr>
              <w:t xml:space="preserve">For separate ACK/NACK payload/feedback for received PDSCHs where multiple DCIs are used </w:t>
            </w:r>
          </w:p>
          <w:p w14:paraId="57096681" w14:textId="77777777" w:rsidR="00546C71" w:rsidRPr="00F6408A" w:rsidRDefault="00546C71" w:rsidP="00546C71">
            <w:pPr>
              <w:pStyle w:val="ListParagraph"/>
              <w:numPr>
                <w:ilvl w:val="0"/>
                <w:numId w:val="26"/>
              </w:numPr>
              <w:overflowPunct w:val="0"/>
              <w:autoSpaceDE w:val="0"/>
              <w:autoSpaceDN w:val="0"/>
              <w:adjustRightInd w:val="0"/>
              <w:contextualSpacing/>
              <w:jc w:val="both"/>
              <w:textAlignment w:val="baseline"/>
              <w:rPr>
                <w:rFonts w:ascii="Times New Roman" w:eastAsia="SimSun" w:hAnsi="Times New Roman"/>
              </w:rPr>
            </w:pPr>
            <w:r w:rsidRPr="00F6408A">
              <w:rPr>
                <w:rFonts w:ascii="Times New Roman" w:eastAsia="SimSun" w:hAnsi="Times New Roman"/>
              </w:rPr>
              <w:t>Support TDMed PUCCH transmission within a slot to convey, at least separate ACK/NACK only feedback, with separated HARQ-ACK codebook for two TRPs</w:t>
            </w:r>
          </w:p>
          <w:p w14:paraId="1EAE4FE3" w14:textId="77777777" w:rsidR="00546C71" w:rsidRPr="00F6408A" w:rsidRDefault="00546C71" w:rsidP="00546C71">
            <w:pPr>
              <w:pStyle w:val="ListParagraph"/>
              <w:numPr>
                <w:ilvl w:val="0"/>
                <w:numId w:val="26"/>
              </w:numPr>
              <w:overflowPunct w:val="0"/>
              <w:autoSpaceDE w:val="0"/>
              <w:autoSpaceDN w:val="0"/>
              <w:adjustRightInd w:val="0"/>
              <w:contextualSpacing/>
              <w:jc w:val="both"/>
              <w:textAlignment w:val="baseline"/>
              <w:rPr>
                <w:rFonts w:ascii="Times New Roman" w:eastAsia="SimSun" w:hAnsi="Times New Roman"/>
              </w:rPr>
            </w:pPr>
            <w:r w:rsidRPr="00F6408A">
              <w:rPr>
                <w:rFonts w:ascii="Times New Roman" w:eastAsia="SimSun" w:hAnsi="Times New Roman"/>
              </w:rPr>
              <w:t>FFS: Details on how this feature is supported in the specifications (for examples, introduction of restrictions and/or further enhancements)</w:t>
            </w:r>
          </w:p>
          <w:p w14:paraId="203B75F5" w14:textId="77777777" w:rsidR="00546C71" w:rsidRPr="00F6408A" w:rsidRDefault="00546C71" w:rsidP="00546C71">
            <w:pPr>
              <w:pStyle w:val="ListParagraph"/>
              <w:overflowPunct w:val="0"/>
              <w:autoSpaceDE w:val="0"/>
              <w:autoSpaceDN w:val="0"/>
              <w:adjustRightInd w:val="0"/>
              <w:ind w:left="0"/>
              <w:contextualSpacing/>
              <w:jc w:val="both"/>
              <w:textAlignment w:val="baseline"/>
              <w:rPr>
                <w:rFonts w:ascii="Times New Roman" w:eastAsia="SimSun" w:hAnsi="Times New Roman"/>
              </w:rPr>
            </w:pPr>
            <w:r w:rsidRPr="00F6408A">
              <w:rPr>
                <w:rFonts w:ascii="Times New Roman" w:eastAsia="SimSun" w:hAnsi="Times New Roman"/>
              </w:rPr>
              <w:t xml:space="preserve">Above applies at least for FR1 </w:t>
            </w:r>
          </w:p>
          <w:p w14:paraId="00318F5C" w14:textId="43FB17DD" w:rsidR="00546C71" w:rsidRDefault="00546C71" w:rsidP="00B34FA1">
            <w:pPr>
              <w:rPr>
                <w:rFonts w:eastAsia="MS Mincho"/>
                <w:sz w:val="22"/>
                <w:szCs w:val="22"/>
                <w:lang w:eastAsia="ja-JP"/>
              </w:rPr>
            </w:pPr>
          </w:p>
        </w:tc>
      </w:tr>
    </w:tbl>
    <w:p w14:paraId="048C3697" w14:textId="77777777" w:rsidR="008A7B5A" w:rsidRDefault="008A7B5A"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2B9316FF" w14:textId="77777777" w:rsidR="007550D0" w:rsidRDefault="007550D0" w:rsidP="004C0D75">
      <w:pPr>
        <w:rPr>
          <w:rFonts w:eastAsia="SimSun"/>
          <w:b/>
          <w:i/>
          <w:sz w:val="22"/>
          <w:szCs w:val="22"/>
        </w:rPr>
      </w:pPr>
    </w:p>
    <w:p w14:paraId="03AE60A2" w14:textId="083506D8" w:rsidR="0012108B" w:rsidRPr="000726A4" w:rsidRDefault="00E23A8D" w:rsidP="0012108B">
      <w:pPr>
        <w:rPr>
          <w:sz w:val="22"/>
          <w:szCs w:val="22"/>
        </w:rPr>
      </w:pPr>
      <w:r>
        <w:rPr>
          <w:sz w:val="22"/>
        </w:rPr>
        <w:t>For</w:t>
      </w:r>
      <w:r w:rsidR="0012108B" w:rsidRPr="000726A4">
        <w:rPr>
          <w:sz w:val="22"/>
          <w:szCs w:val="22"/>
        </w:rPr>
        <w:t xml:space="preserve">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07F3BB00" w:rsidR="000100FA" w:rsidRPr="000726A4" w:rsidRDefault="0012108B" w:rsidP="0012108B">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1</w:t>
      </w:r>
      <w:r w:rsidRPr="000726A4">
        <w:rPr>
          <w:rFonts w:eastAsia="SimSun"/>
          <w:bCs/>
          <w:i/>
          <w:sz w:val="22"/>
          <w:szCs w:val="22"/>
        </w:rPr>
        <w:t xml:space="preserve">: </w:t>
      </w:r>
      <w:r w:rsidRPr="000726A4">
        <w:rPr>
          <w:rFonts w:eastAsia="SimSun"/>
          <w:b/>
          <w:i/>
          <w:sz w:val="22"/>
          <w:szCs w:val="22"/>
        </w:rPr>
        <w:t>For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060B7060" w:rsidR="000726A4" w:rsidRDefault="000726A4" w:rsidP="000726A4">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2</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lastRenderedPageBreak/>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39C37DA9"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3</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01BC804E" w14:textId="13C44955" w:rsidR="00017180" w:rsidRPr="007E1532" w:rsidRDefault="00017180" w:rsidP="0026379A">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4</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D40532E" w14:textId="77777777" w:rsidR="00E310AA" w:rsidRDefault="00E310AA" w:rsidP="00590FC4">
      <w:pPr>
        <w:pStyle w:val="Heading1"/>
      </w:pPr>
      <w:r>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23251143" w:rsidR="00093BA8" w:rsidRDefault="00093BA8" w:rsidP="00093BA8">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7B23778E"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0D2691">
        <w:rPr>
          <w:rFonts w:eastAsia="SimSun"/>
          <w:b/>
          <w:bCs/>
          <w:i/>
          <w:sz w:val="22"/>
          <w:szCs w:val="22"/>
          <w:u w:val="single"/>
        </w:rPr>
        <w:t>6</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lastRenderedPageBreak/>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UE buffer is lower or higher than a threshold for certain period of time</w:t>
      </w:r>
    </w:p>
    <w:p w14:paraId="48EB9F8E" w14:textId="77777777" w:rsidR="00DF62E3" w:rsidRPr="002108DF" w:rsidRDefault="00DF62E3" w:rsidP="0026379A">
      <w:pPr>
        <w:rPr>
          <w:sz w:val="22"/>
          <w:szCs w:val="22"/>
        </w:rPr>
      </w:pPr>
    </w:p>
    <w:p w14:paraId="08EEA320" w14:textId="3266A1F1" w:rsidR="00F931A2" w:rsidRPr="00DE367F" w:rsidRDefault="00DF62E3" w:rsidP="00C66E63">
      <w:pPr>
        <w:rPr>
          <w:rFonts w:eastAsia="SimSun"/>
          <w:b/>
          <w:i/>
          <w:sz w:val="22"/>
          <w:szCs w:val="22"/>
        </w:rPr>
      </w:pPr>
      <w:r w:rsidRPr="002108DF">
        <w:rPr>
          <w:rFonts w:eastAsia="SimSun"/>
          <w:b/>
          <w:bCs/>
          <w:i/>
          <w:sz w:val="22"/>
          <w:szCs w:val="22"/>
          <w:u w:val="single"/>
        </w:rPr>
        <w:t xml:space="preserve">Proposal </w:t>
      </w:r>
      <w:r w:rsidR="000D2691">
        <w:rPr>
          <w:rFonts w:eastAsia="SimSun"/>
          <w:b/>
          <w:bCs/>
          <w:i/>
          <w:sz w:val="22"/>
          <w:szCs w:val="22"/>
          <w:u w:val="single"/>
        </w:rPr>
        <w:t>7</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2896E657" w14:textId="2DF29AD0" w:rsidR="00854A60" w:rsidRPr="00FB330B" w:rsidRDefault="009C5A97" w:rsidP="00FB330B">
      <w:pPr>
        <w:pStyle w:val="Heading1"/>
      </w:pPr>
      <w:r w:rsidRPr="00FB330B">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5FB1BBA3" w14:textId="77777777" w:rsidR="00AF21A2" w:rsidRDefault="00AF21A2" w:rsidP="00AF21A2">
      <w:pPr>
        <w:rPr>
          <w:rFonts w:eastAsia="SimSun"/>
          <w:b/>
          <w:i/>
          <w:sz w:val="22"/>
          <w:szCs w:val="22"/>
        </w:rPr>
      </w:pPr>
    </w:p>
    <w:p w14:paraId="1558E1F7" w14:textId="37C74914" w:rsidR="00AF21A2" w:rsidRDefault="00AF21A2" w:rsidP="00AF21A2">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1</w:t>
      </w:r>
      <w:r w:rsidRPr="000726A4">
        <w:rPr>
          <w:rFonts w:eastAsia="SimSun"/>
          <w:bCs/>
          <w:i/>
          <w:sz w:val="22"/>
          <w:szCs w:val="22"/>
        </w:rPr>
        <w:t xml:space="preserve">: </w:t>
      </w:r>
      <w:r w:rsidRPr="000726A4">
        <w:rPr>
          <w:rFonts w:eastAsia="SimSun"/>
          <w:b/>
          <w:i/>
          <w:sz w:val="22"/>
          <w:szCs w:val="22"/>
        </w:rPr>
        <w:t>For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2AF63F8C" w:rsidR="00AF21A2" w:rsidRDefault="00AF21A2" w:rsidP="00AF21A2">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2</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00BF0E01" w:rsidR="00AF21A2" w:rsidRDefault="00AF21A2" w:rsidP="00AF21A2">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3</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69358181" w:rsidR="00AF21A2" w:rsidRDefault="00AF21A2" w:rsidP="00AF21A2">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4</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3D88E582" w14:textId="77777777" w:rsidR="00AF21A2" w:rsidRDefault="00AF21A2" w:rsidP="00AF21A2">
      <w:pPr>
        <w:rPr>
          <w:rFonts w:eastAsia="SimSun"/>
          <w:b/>
          <w:i/>
          <w:sz w:val="22"/>
          <w:szCs w:val="22"/>
        </w:rPr>
      </w:pPr>
    </w:p>
    <w:p w14:paraId="1A9465C9" w14:textId="1B7DB56E" w:rsidR="00AF21A2" w:rsidRDefault="00AF21A2" w:rsidP="00AF21A2">
      <w:pPr>
        <w:rPr>
          <w:rFonts w:eastAsia="SimSun"/>
          <w:b/>
          <w:i/>
          <w:sz w:val="22"/>
          <w:szCs w:val="22"/>
        </w:rPr>
      </w:pPr>
      <w:r w:rsidRPr="000726A4">
        <w:rPr>
          <w:rFonts w:eastAsia="SimSun"/>
          <w:b/>
          <w:bCs/>
          <w:i/>
          <w:sz w:val="22"/>
          <w:szCs w:val="22"/>
          <w:u w:val="single"/>
        </w:rPr>
        <w:t xml:space="preserve">Proposal </w:t>
      </w:r>
      <w:r w:rsidR="000D2691">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3A8F98A4" w:rsidR="00AF21A2" w:rsidRDefault="00AF21A2" w:rsidP="00AF21A2">
      <w:pPr>
        <w:rPr>
          <w:rFonts w:eastAsia="SimSun"/>
          <w:b/>
          <w:i/>
          <w:sz w:val="22"/>
          <w:szCs w:val="22"/>
        </w:rPr>
      </w:pPr>
      <w:r w:rsidRPr="002108DF">
        <w:rPr>
          <w:rFonts w:eastAsia="SimSun"/>
          <w:b/>
          <w:bCs/>
          <w:i/>
          <w:sz w:val="22"/>
          <w:szCs w:val="22"/>
          <w:u w:val="single"/>
        </w:rPr>
        <w:lastRenderedPageBreak/>
        <w:t xml:space="preserve">Proposal </w:t>
      </w:r>
      <w:r w:rsidR="000D2691">
        <w:rPr>
          <w:rFonts w:eastAsia="SimSun"/>
          <w:b/>
          <w:bCs/>
          <w:i/>
          <w:sz w:val="22"/>
          <w:szCs w:val="22"/>
          <w:u w:val="single"/>
        </w:rPr>
        <w:t>6</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5D647894" w14:textId="6D695990" w:rsidR="002C3C89" w:rsidRPr="009D0C6F" w:rsidRDefault="00AF21A2" w:rsidP="007B447B">
      <w:pPr>
        <w:rPr>
          <w:rFonts w:eastAsia="SimSun"/>
          <w:b/>
          <w:i/>
          <w:sz w:val="22"/>
          <w:szCs w:val="22"/>
        </w:rPr>
      </w:pPr>
      <w:r w:rsidRPr="002108DF">
        <w:rPr>
          <w:rFonts w:eastAsia="SimSun"/>
          <w:b/>
          <w:bCs/>
          <w:i/>
          <w:sz w:val="22"/>
          <w:szCs w:val="22"/>
          <w:u w:val="single"/>
        </w:rPr>
        <w:t xml:space="preserve">Proposal </w:t>
      </w:r>
      <w:r w:rsidR="000D2691">
        <w:rPr>
          <w:rFonts w:eastAsia="SimSun"/>
          <w:b/>
          <w:bCs/>
          <w:i/>
          <w:sz w:val="22"/>
          <w:szCs w:val="22"/>
          <w:u w:val="single"/>
        </w:rPr>
        <w:t>7</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6F6ACF2" w14:textId="554DE827" w:rsidR="0055259E" w:rsidRPr="001C4703" w:rsidRDefault="0055259E" w:rsidP="005525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Pr>
          <w:sz w:val="20"/>
        </w:rPr>
        <w:t>Spokane, USA, 12</w:t>
      </w:r>
      <w:r>
        <w:rPr>
          <w:sz w:val="20"/>
          <w:vertAlign w:val="superscript"/>
        </w:rPr>
        <w:t>th</w:t>
      </w:r>
      <w:r>
        <w:rPr>
          <w:sz w:val="20"/>
        </w:rPr>
        <w:t xml:space="preserve"> – 16</w:t>
      </w:r>
      <w:r>
        <w:rPr>
          <w:sz w:val="20"/>
          <w:vertAlign w:val="superscript"/>
        </w:rPr>
        <w:t>h</w:t>
      </w:r>
      <w:r>
        <w:rPr>
          <w:sz w:val="20"/>
        </w:rPr>
        <w:t xml:space="preserve"> November 2018</w:t>
      </w:r>
    </w:p>
    <w:p w14:paraId="4E394CF6" w14:textId="77777777" w:rsidR="00CB7BB7" w:rsidRDefault="001C4703" w:rsidP="00CB7BB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7A358B0" w14:textId="6C7CB840" w:rsidR="00307E65" w:rsidRDefault="00307E65" w:rsidP="00CB7BB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 xml:space="preserve">Chairman notes, </w:t>
      </w:r>
      <w:r w:rsidR="00CB7BB7" w:rsidRPr="00CB7BB7">
        <w:rPr>
          <w:sz w:val="22"/>
          <w:szCs w:val="22"/>
        </w:rPr>
        <w:t>3GPP TSG RAN WG1 Meeting #96</w:t>
      </w:r>
      <w:r w:rsidR="00CB7BB7">
        <w:rPr>
          <w:sz w:val="22"/>
          <w:szCs w:val="22"/>
        </w:rPr>
        <w:t xml:space="preserve">, </w:t>
      </w:r>
      <w:r w:rsidR="00CB7BB7" w:rsidRPr="00CB7BB7">
        <w:rPr>
          <w:sz w:val="22"/>
          <w:szCs w:val="22"/>
        </w:rPr>
        <w:t>Athens, Greece, February 25th – March 1st, 2019</w:t>
      </w:r>
    </w:p>
    <w:p w14:paraId="5342CC56" w14:textId="77777777" w:rsidR="006B12E5" w:rsidRPr="00421D5E" w:rsidRDefault="006B12E5" w:rsidP="006B12E5">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#96</w:t>
      </w:r>
      <w:r>
        <w:rPr>
          <w:sz w:val="22"/>
          <w:szCs w:val="22"/>
        </w:rPr>
        <w:t>b, Xian</w:t>
      </w:r>
      <w:r w:rsidRPr="00CB7BB7">
        <w:rPr>
          <w:sz w:val="22"/>
          <w:szCs w:val="22"/>
        </w:rPr>
        <w:t xml:space="preserve">, </w:t>
      </w:r>
      <w:r>
        <w:rPr>
          <w:sz w:val="22"/>
          <w:szCs w:val="22"/>
        </w:rPr>
        <w:t>China</w:t>
      </w:r>
      <w:r w:rsidRPr="00CB7BB7">
        <w:rPr>
          <w:sz w:val="22"/>
          <w:szCs w:val="22"/>
        </w:rPr>
        <w:t xml:space="preserve">, </w:t>
      </w:r>
      <w:r>
        <w:rPr>
          <w:sz w:val="22"/>
          <w:szCs w:val="22"/>
        </w:rPr>
        <w:t>April</w:t>
      </w:r>
      <w:r w:rsidRPr="00CB7BB7">
        <w:rPr>
          <w:sz w:val="22"/>
          <w:szCs w:val="22"/>
        </w:rPr>
        <w:t xml:space="preserve"> </w:t>
      </w:r>
      <w:r>
        <w:rPr>
          <w:sz w:val="22"/>
          <w:szCs w:val="22"/>
        </w:rPr>
        <w:t>8</w:t>
      </w:r>
      <w:r w:rsidRPr="00CB7BB7">
        <w:rPr>
          <w:sz w:val="22"/>
          <w:szCs w:val="22"/>
        </w:rPr>
        <w:t xml:space="preserve">th – </w:t>
      </w:r>
      <w:r>
        <w:rPr>
          <w:sz w:val="22"/>
          <w:szCs w:val="22"/>
        </w:rPr>
        <w:t>April</w:t>
      </w:r>
      <w:r w:rsidRPr="00CB7BB7">
        <w:rPr>
          <w:sz w:val="22"/>
          <w:szCs w:val="22"/>
        </w:rPr>
        <w:t xml:space="preserve"> </w:t>
      </w:r>
      <w:r>
        <w:rPr>
          <w:sz w:val="22"/>
          <w:szCs w:val="22"/>
        </w:rPr>
        <w:t>12th</w:t>
      </w:r>
      <w:r w:rsidRPr="00CB7BB7">
        <w:rPr>
          <w:sz w:val="22"/>
          <w:szCs w:val="22"/>
        </w:rPr>
        <w:t>, 2019</w:t>
      </w:r>
    </w:p>
    <w:p w14:paraId="07B559CD" w14:textId="77777777" w:rsidR="006B12E5" w:rsidRPr="00421D5E" w:rsidRDefault="006B12E5" w:rsidP="006B12E5">
      <w:pPr>
        <w:overflowPunct w:val="0"/>
        <w:autoSpaceDE w:val="0"/>
        <w:autoSpaceDN w:val="0"/>
        <w:adjustRightInd w:val="0"/>
        <w:spacing w:before="100" w:beforeAutospacing="1" w:after="100" w:afterAutospacing="1"/>
        <w:ind w:left="562"/>
        <w:textAlignment w:val="baseline"/>
        <w:rPr>
          <w:sz w:val="22"/>
          <w:szCs w:val="22"/>
        </w:rPr>
      </w:pPr>
    </w:p>
    <w:p w14:paraId="54F6E2C0" w14:textId="7DADC1A7" w:rsidR="00825B95" w:rsidRPr="00FB0FBE" w:rsidRDefault="00825B95" w:rsidP="005B08CD">
      <w:pPr>
        <w:overflowPunct w:val="0"/>
        <w:autoSpaceDE w:val="0"/>
        <w:autoSpaceDN w:val="0"/>
        <w:adjustRightInd w:val="0"/>
        <w:spacing w:before="100" w:beforeAutospacing="1" w:after="100" w:afterAutospacing="1"/>
        <w:ind w:left="562"/>
        <w:textAlignment w:val="baseline"/>
        <w:rPr>
          <w:sz w:val="22"/>
          <w:szCs w:val="22"/>
        </w:rPr>
      </w:pPr>
    </w:p>
    <w:sectPr w:rsidR="00825B95" w:rsidRPr="00FB0FB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7EE59" w14:textId="77777777" w:rsidR="00ED360B" w:rsidRDefault="00ED360B">
      <w:r>
        <w:separator/>
      </w:r>
    </w:p>
  </w:endnote>
  <w:endnote w:type="continuationSeparator" w:id="0">
    <w:p w14:paraId="685F67D2" w14:textId="77777777" w:rsidR="00ED360B" w:rsidRDefault="00ED360B">
      <w:r>
        <w:continuationSeparator/>
      </w:r>
    </w:p>
  </w:endnote>
  <w:endnote w:type="continuationNotice" w:id="1">
    <w:p w14:paraId="4BAEB11D" w14:textId="77777777" w:rsidR="00ED360B" w:rsidRDefault="00ED3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39583" w14:textId="77777777" w:rsidR="00ED360B" w:rsidRDefault="00ED360B">
      <w:r>
        <w:separator/>
      </w:r>
    </w:p>
  </w:footnote>
  <w:footnote w:type="continuationSeparator" w:id="0">
    <w:p w14:paraId="3F15784A" w14:textId="77777777" w:rsidR="00ED360B" w:rsidRDefault="00ED360B">
      <w:r>
        <w:continuationSeparator/>
      </w:r>
    </w:p>
  </w:footnote>
  <w:footnote w:type="continuationNotice" w:id="1">
    <w:p w14:paraId="6739320B" w14:textId="77777777" w:rsidR="00ED360B" w:rsidRDefault="00ED36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7"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11"/>
  </w:num>
  <w:num w:numId="12">
    <w:abstractNumId w:val="4"/>
  </w:num>
  <w:num w:numId="13">
    <w:abstractNumId w:val="22"/>
  </w:num>
  <w:num w:numId="14">
    <w:abstractNumId w:val="25"/>
  </w:num>
  <w:num w:numId="15">
    <w:abstractNumId w:val="17"/>
  </w:num>
  <w:num w:numId="16">
    <w:abstractNumId w:val="14"/>
  </w:num>
  <w:num w:numId="17">
    <w:abstractNumId w:val="2"/>
  </w:num>
  <w:num w:numId="18">
    <w:abstractNumId w:val="20"/>
  </w:num>
  <w:num w:numId="19">
    <w:abstractNumId w:val="3"/>
  </w:num>
  <w:num w:numId="20">
    <w:abstractNumId w:val="24"/>
  </w:num>
  <w:num w:numId="21">
    <w:abstractNumId w:val="23"/>
  </w:num>
  <w:num w:numId="22">
    <w:abstractNumId w:val="8"/>
  </w:num>
  <w:num w:numId="23">
    <w:abstractNumId w:val="21"/>
  </w:num>
  <w:num w:numId="24">
    <w:abstractNumId w:val="19"/>
  </w:num>
  <w:num w:numId="25">
    <w:abstractNumId w:val="16"/>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6AD"/>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4E3"/>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691"/>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9B"/>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17B"/>
    <w:rsid w:val="001372E4"/>
    <w:rsid w:val="00137AB5"/>
    <w:rsid w:val="00137F0B"/>
    <w:rsid w:val="001405B9"/>
    <w:rsid w:val="00140CDB"/>
    <w:rsid w:val="00140FC4"/>
    <w:rsid w:val="00141586"/>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453"/>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5B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703"/>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2B"/>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249"/>
    <w:rsid w:val="00270403"/>
    <w:rsid w:val="00270475"/>
    <w:rsid w:val="002710A9"/>
    <w:rsid w:val="0027144F"/>
    <w:rsid w:val="00271F3A"/>
    <w:rsid w:val="002720C3"/>
    <w:rsid w:val="0027245A"/>
    <w:rsid w:val="00272E60"/>
    <w:rsid w:val="00273278"/>
    <w:rsid w:val="002736B5"/>
    <w:rsid w:val="002737F4"/>
    <w:rsid w:val="00273BED"/>
    <w:rsid w:val="00273D7F"/>
    <w:rsid w:val="0027470E"/>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77F"/>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07E65"/>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A3"/>
    <w:rsid w:val="003212DB"/>
    <w:rsid w:val="00322154"/>
    <w:rsid w:val="003222AB"/>
    <w:rsid w:val="00322C9F"/>
    <w:rsid w:val="00323ACB"/>
    <w:rsid w:val="00323EED"/>
    <w:rsid w:val="00324402"/>
    <w:rsid w:val="0032487D"/>
    <w:rsid w:val="003249E4"/>
    <w:rsid w:val="00324BF6"/>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DD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F4C"/>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F7F"/>
    <w:rsid w:val="004142B5"/>
    <w:rsid w:val="00415415"/>
    <w:rsid w:val="0041547C"/>
    <w:rsid w:val="0041576E"/>
    <w:rsid w:val="00415856"/>
    <w:rsid w:val="00415AE2"/>
    <w:rsid w:val="00415CFE"/>
    <w:rsid w:val="00416EC8"/>
    <w:rsid w:val="00417E76"/>
    <w:rsid w:val="004207EE"/>
    <w:rsid w:val="00421105"/>
    <w:rsid w:val="00421595"/>
    <w:rsid w:val="00421D5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011"/>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3F"/>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3C0"/>
    <w:rsid w:val="00544824"/>
    <w:rsid w:val="00545492"/>
    <w:rsid w:val="00545CBE"/>
    <w:rsid w:val="005465AF"/>
    <w:rsid w:val="00546970"/>
    <w:rsid w:val="00546C71"/>
    <w:rsid w:val="00546D31"/>
    <w:rsid w:val="00546D5A"/>
    <w:rsid w:val="005474AE"/>
    <w:rsid w:val="00547A1B"/>
    <w:rsid w:val="00550001"/>
    <w:rsid w:val="005500B0"/>
    <w:rsid w:val="00550814"/>
    <w:rsid w:val="00551007"/>
    <w:rsid w:val="005517F4"/>
    <w:rsid w:val="005518BD"/>
    <w:rsid w:val="00551FE1"/>
    <w:rsid w:val="0055259E"/>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08C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CE5"/>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177"/>
    <w:rsid w:val="006A5E28"/>
    <w:rsid w:val="006A5E37"/>
    <w:rsid w:val="006A63BF"/>
    <w:rsid w:val="006A697B"/>
    <w:rsid w:val="006A6B07"/>
    <w:rsid w:val="006A7AFF"/>
    <w:rsid w:val="006B06EB"/>
    <w:rsid w:val="006B07F1"/>
    <w:rsid w:val="006B12E5"/>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AE6"/>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32"/>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02E"/>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5A"/>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0649"/>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27D2C"/>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5C92"/>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C6F"/>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04A"/>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13"/>
    <w:rsid w:val="00A35AE2"/>
    <w:rsid w:val="00A36297"/>
    <w:rsid w:val="00A365D2"/>
    <w:rsid w:val="00A3720D"/>
    <w:rsid w:val="00A37380"/>
    <w:rsid w:val="00A375C1"/>
    <w:rsid w:val="00A37E42"/>
    <w:rsid w:val="00A400CD"/>
    <w:rsid w:val="00A4151F"/>
    <w:rsid w:val="00A41966"/>
    <w:rsid w:val="00A41E2B"/>
    <w:rsid w:val="00A4224F"/>
    <w:rsid w:val="00A42616"/>
    <w:rsid w:val="00A42713"/>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A7042"/>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B7CCF"/>
    <w:rsid w:val="00AC007F"/>
    <w:rsid w:val="00AC08AA"/>
    <w:rsid w:val="00AC09F1"/>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D7FB7"/>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9"/>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3713"/>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4EE"/>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108"/>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62B8"/>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BB7"/>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4BF8"/>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7F"/>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0ED0"/>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3A8D"/>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4B9"/>
    <w:rsid w:val="00E35559"/>
    <w:rsid w:val="00E359C0"/>
    <w:rsid w:val="00E35EF6"/>
    <w:rsid w:val="00E3663D"/>
    <w:rsid w:val="00E36EBA"/>
    <w:rsid w:val="00E371D3"/>
    <w:rsid w:val="00E3723A"/>
    <w:rsid w:val="00E374E2"/>
    <w:rsid w:val="00E37860"/>
    <w:rsid w:val="00E379F0"/>
    <w:rsid w:val="00E403C9"/>
    <w:rsid w:val="00E4080C"/>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0DD"/>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60B"/>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53"/>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AC1"/>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1AB"/>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C7B77"/>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B2721-BFE1-424B-B6D7-893EB3C5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849</TotalTime>
  <Pages>6</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1047</cp:revision>
  <cp:lastPrinted>2008-01-31T16:09:00Z</cp:lastPrinted>
  <dcterms:created xsi:type="dcterms:W3CDTF">2017-09-28T15:58:00Z</dcterms:created>
  <dcterms:modified xsi:type="dcterms:W3CDTF">2019-05-03T21:24:00Z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